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4.1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estimated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interwoven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forthcoming.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Bergstrom.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Iowa.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Iowa,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Iowa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Hawkeyes,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Iowa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Bergstrom,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Z.D.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Mercantile,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bootstrapping,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00:06:14]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00:06:37]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garbages,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crayon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omelets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enthusiasm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randomness.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Minneapolis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2027.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go-to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timing-wise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accrued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firsthand.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win-win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caretaker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legally-wise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LLC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rumors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trailblazer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Cooks',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Minnesota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Iowa.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remodel.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Z.W.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Mercantile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Z.W.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eco-friendly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eco-branded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Z.W.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Mercantile.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eco-friendly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eco-friendly,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refillery,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eco-friendly,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precursors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caffeine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multitask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inefficiency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Iowa,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Minneapolis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treasurer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treasurer,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introvert,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randomly-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awkwardness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"Why?"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Lincoln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Iowa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Pappajohn's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they...?"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delayed.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consolidating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Z.W.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Mercantile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consolidate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consolidate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redefining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Ankeny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at-home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25-page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PDF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redefining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00:43:22]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 Bergstrom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Bergstrom,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Iowa.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shopmainstreet.org.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Mindy Bergstrom (Completed  09/09/24)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10,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XNrhke5CKETsyFTz7zPwVuxBkAAr7Os-jWwj5dt-GuCxgydeIJ3W-KScjMsb0-Lttrw3yvnBoPaZetlEY3aWczXXoWE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